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Соколова Николая Михайловича на нарушение его конституционных прав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Н.М.Соколова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Н.М.Соколов оспаривает конституционность статьи 71 «Оценка доказательств» АПК Российской Федерации. Определением арбитражного суда, оставленным без изменения вышестоящими арбитражными судами, удовлетворено заявление финансового управляющего о признании недействительным договора дарения транспортного средства, заключенного между Н.М.Соколовым (должником в деле о банкротстве) и его несовершеннолетней дочерью. Суд первой инстанции, установив недобросовестность должника и критически оценив доводы заявителя о том, что транспортное средство подарено им в 2011 году, а регистрация этого автомобиля была осуществлена в 2017 году, пришел к выводу о том, что и дарение произошло в 2017 году. Арбитражный 2 апелляционный суд в обоснование мнимости оспариваемой сделки дополнительно сослался на нецелесообразность ее заключения в пользу дочери должника, учитывая ее дошкольный возраст и совместное проживание с должником. Определением судьи Верховного Суда Российской Федерации отказано в передаче кассационной жалобы Н.М.Соколова для рассмотрения в судебном заседании суда кассационной инстанции. По мнению заявителя, оспариваемая норма не соответствует статьям 15 (части 1 и 2), 19 (часть 1), 46 (часть 1) и 55 (часть 2) Конституции Российской Федерации, поскольку она позволяет суду, не являющемуся экспертом, определять дату составления документа в отсутствие заявления о фальсификации доказательства и без проведения технической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статьей 71 АПК Российской Федерации арбитражным судам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Кроме того, результаты оценки доказательств суды отражают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данной статьи). Гарантией процессуальных прав лиц, участвующих в деле, являются закрепленные названным Кодексом процедуры проверки судебных актов вышестоящими судами и основания для их отмены или изменения. Таким образом, статья 71 АПК Российской Федерации, не предполагающая произвольного установления арбитражным судом фактических обстоятельств, не может рассматриваться как нарушающая конституционные права заявителя. 3 Проверка же обоснованности судебных актов по конкретному делу, в том числе вывода арбитражных судов о мнимости конкретной сделки,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Соколова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