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Гриднева Михаила Николаевича на нарушение его конституционных прав статьей 195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М.Н.Гриднева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М.Н.Гриднев оспаривает конституционность статьи 195 «Законность и обоснованность решения суда»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М.Н.Гридневу отказано в удовлетворении требований о взыскании неосновательного обогащения и процентов за пользование чужими денежными средствами.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2 По мнению М.Н.Гриднева, оспариваемое законоположение противоречит Конституции Российской Федерации, ее статьям 1 (часть 1), 19 (часть 1), 45, 46 (части 1 и 2) и 123 (часть 3), поскольку оно в системе действующего правового регулирования и по смыслу, придаваемому ему правоприменительной практикой, позволяет признать законным и обоснованным решение суда, принятое на основании предположительно подложной копии расписки о получении денежных средств, представленной ответчиком в судебном заседании в отсутствие истца.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Гриднева Михаила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