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Марченко Романа Васильевича на нарушение его конституционных прав статьей 27.10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Р.В.Марченко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Р.В.Марченко оспаривает конституционность статьи 27.10 «Изъятие вещей и документов» КоАП Российской Федерации. Как следует из представленных материалов, постановлением судьи районного суда, которое оставлено без изменений судьями вышестоящих судов, Р.В.Марченко привлечен к административной ответственности за совершение административного правонарушения (недекларирование товара (парусного судна), подлежащего таможенному декларированию) по части 1 статьи 16.2 КоАП Российской Федерации и ему назначено административное наказание в виде административного штрафа в размере одной второй 2 стоимости товара, явившегося предметом административного правонарушения, без конфискации этого товара. При этом довод заявителя о том, что парусное судно, будучи его жилищем, не подлежало изъятию в ходе производства по делу об административном правонарушении в качестве предмета административного правонарушения, был отвергнут, поскольку оно не обладает признаками жилого помещения и является предметом административного правонарушения. Кроме того, при назначении административного наказания судьей районного суда был решен вопрос о судьбе изъятого парусного судна с возвращением его законному владельцу. По мнению заявителя, оспариваемое законоположение не соответствует статье 25 Конституции Российской Федерации, поскольку допускает изъятие в ходе производства по делу об административном правонарушении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 в части 1 статьи 27.1 закрепил перечень мер обеспечения производства по делу об административном правонарушении, которые могут быть применены в целях пресечения административного правонарушения, установления личности нарушителя, составления протокола об административном правонарушении при невозможности его составления на месте выявления административного правонарушения, обеспечения своевременного и правильного рассмотрения дела об административном правонарушении и исполнения принятого по делу постановления, а также в отношении каждой такой меры в отдельности определил основания и порядок ее применения и права и обязанности лиц, в отношении которых она применяется (глава 27). Оспариваемая заявителем статья 27.10 КоАП Российской Федерации направлена на определение порядка осуществления такой меры обеспечения производства по делу об административном правонарушении, как изъятие вещей и документов, закрепляет права лица, у которого изымаются вещи и 3 документы, а также устанавливает, что изъятые вещи и документы до рассмотрения дела об административном правонарушении хранятся в местах, определяемых должностным лицом, осуществившим изъятие вещей и документов, в порядке, установленном соответствующим федеральным органом исполнительной власти. Следовательно, положения данной статьи с учетом их содержания и правоотношений, на которые рассчитаны установленные ими правила, не могут рассматриваться как нарушающие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Марченко Романа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