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2899-О/2024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Рыбалко Людмилы Васильевны на нарушение ее конституционных прав статьей 14 Федерального закона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Л.В.Рыбалко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Л.В.Рыбалко, которой в 1986 году была назначена пенсия по старости, оспаривает конституционность статьи 14 «Размеры трудовых пенсий по старости» Федерального закона от 17 декабря 2001 года № 173-ФЗ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 400-ФЗ «О страховых пенсиях» в части, не противоречащей данному Федеральному закону). 2 По мнению заявительницы, оспариваемое законоположение не соответствует Конституции Российской Федерации, в частности ее статьям 2, 6 (часть 2), 18 и 19 (части 1 и 2), поскольку нарушает ее право на пенсионное обеспечение. Также Л.В.Рыбалко ходатайствует о восстановлении пропущенного годичного срока на подачу жалобы в</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Пропуск предусмотренного названной нормой Федерального конституционного закона «О Конституционном Суде Российской Федерации» годичного срока после рассмотрения дела гражданина судом выступает в качестве самостоятельного обстоятельства, исключающего допустимость обращения в Конституционный Суд Российской Федерации. Между тем из представленных материалов следует, что с момента завершения рассмотрения дела заявительницы и до подачи ею жалобы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Рыбалко Людмилы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