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положений Кодекса административного судопроизводства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в своих жалобах конституционность ряда положений Кодекса административного судопроизводства Российской Федерации и Уголовно-процессуального кодекса Российской Федерации.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