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статьей 39 Гражданского процессуального кодекса Российской Федерации и статьей 46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В.А.Дорохина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статьи 39 «Изменение иска, отказ от иска, признание иска, мировое соглашение» ГПК Российской Федерации и статьи 46 «Изменение основания или предмета административного иска, отказ от административного иска, признание административного иска, заключение сторонами соглашения о примирении» КАС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В.А.Дорохину отказано в удовлетворении исковых требований к юридическому 2 лицу о признании действий ответчика незаконными и возложении обязанности осуществить действия по восстановлению права путем выплаты компенсации. Определением судьи Верховного Суда Российской Федерации, с которым согласился заместитель Председателя этого суда, В.А.Дорохину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противоречат Конституции Российской Федерации, ее статьям 1 (часть 1), 2, 15 (часть 2), 45 (часть 1), 46 (части 1 и 2), 52, 53, 120 (часть 1) и 123 (часть 3), а также пункту 1 статьи 14 Международного пакта о гражданских и политических правах, поскольку позволяют суду по собственной инициативе изменить предмет и (или) основание исковых требований.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