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Спасского Сергея Михайловича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С.М.Спасского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С.М.Спасский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отменено решение суда первой инстанции и принято новое решение – об отказе в удовлетворении исковых требований С.М.Спасского к индивидуальному предпринимателю о взыскании неосновательного обогащения. Определением судьи Верховного Суда Российской Федерации 2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С.М.Спасского, оспариваемая норма нарушает его права, гарантированные статьями 35, 46 и 123 (часть 3) Конституции Российской Федерации, поскольку в нарушение принципа равноправия сторон и права на судебную защиту препятствует установлению действительных обстоятельств дела. Кроме того, заявитель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Спасского Сергея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