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Литвинец Елены Ивановны на нарушение ее конституционных прав статьями 150 и 151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Е.И.Литвинец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Е.И.Литвинец, которой отказано в удовлетворении требований о взыскании с акционерного общества компенсации морального вреда, причиненного незаконным отказом общества в предоставлении запрашиваемой заявительницей информации (проектной документации на газопровод), оспаривает конституционность статей 150 «Нематериальные блага» и 151 «Компенсация морального вреда» ГК Российской Федерации. По мнению Е.И.Литвинец, оспариваемые нормы не соответствуют статьям 2, 15 (части 1 и 4), 17 (части 1 и 3), 18, 19 (части 1 и 2), 29 (часть 4), 45 (часть 1) и 46 (часть 1) Конституции Российской Федерации, поскольку по смыслу, придаваемому им правоприменительной практикой, они позволяют 2 судам отказывать во взыскании компенсации морального вреда, причиненного гражданину вследствие незаконного отказа юридического лица предоставить документацию для ознакомления.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150 ГК Российской Федерации, закрепляющая открытый перечень принадлежащих гражданину нематериальных благ и возможность их защиты всеми способами, совместимыми с существом нарушенного права и характером нарушения, и статья 151 этого Кодекса, предусматривающая возможность взыскания денежной компенсации морального вреда, причиненного действиями, нарушающими личные неимущественные права гражданина либо посягающими на принадлежащие ему нематериальные блага, а также в других предусмотренных законом случаях и указывающая на обстоятельства, которые суд принимает во внимание при определении размеров такой компенсации, содержат гарантии защиты личных неимущественных прав граждан в установленных законом случаях и не могут расцениваться в качестве нарушающих в обозначенном в жалобе аспекте конституционные права Е.И.Литвинец, в деле с участием которой суды на основе исследованных фактических обстоятельств пришли к выводу об отсутствии оснований для взыскания в пользу заявительницы компенсации морального вреда. Установление же и оценка фактических обстоятельств конкретного дела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Литвинец Елены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