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2366-О/2024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Григорий Людмилы Михайловны на нарушение ее конституционных прав пунктами 1, 3 и 4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Л.М.Григорий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Л.М.Григорий оспаривает конституционность пунктов 1, 3 и 4 статьи 234 «Приобретательная давность» ГК Российской Федерации. Как следует из представленных материалов, решением суда общей юрисдикции, оставленным без изменения определением суда апелляционной инстанции, в удовлетворении исковых требований Л.М.Григорий о признании права собственности на земельный участок, об устранении препятствий в пользовании земельным участком отказано.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2 По мнению заявительницы, оспариваемые положения противоречат Конституции Российской Федерации, ее статьям 15, 17, 19, 35, 36, 45, 46 и 55, поскольку они по смыслу, придаваемому им правоприменительной практикой, препятствуют признанию права собственности в силу приобретательной давности за лицом, которое на протяжении длительного времени открыто, добросовестно и непрерывно владеет спорным имуществом, так как не содержат конкретных требований, предъявляемых к собственнику. Кроме того, Л.М.Григорий просит рассмотреть вопрос о пересмотре судебных постановлений по делу с ее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Григорий Людмилы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