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623-О/2024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Яковлевой Галины Николаевны на нарушение ее конституционных прав статьями 3907 и 3909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Г.Н.Яковлевой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Г.Н.Яковлева, которой определением судьи Верховного Суда Российской Федерации в передаче кассационной жалобы для рассмотрения в судебном заседании Судебной коллегии по гражданским делам Верховного Суда Российской Федерации было отказано, с чем согласился заместитель Председателя этого суда, оспаривает конституционность статьи 3907 «Рассмотрение кассационных жалобы, представления» и статьи 3909 «Определение судьи об отказе в передаче кассационных жалобы, представления для рассмотрения в судебном заседании суда кассационной инстанции» ГПК Российской Федерации. 2 По мнению заявительницы, оспариваемые законоположения не соответствуют Конституции Российской Федерации, в том числе ее статьям 46 и 47, поскольку позволяют судье Верховного Суда Российской Федерации по своему собственному усмотрению единолично принимать решение об отказе в передаче кассационной жалобы для рассмотрения в судебном заседании Судебной коллегии Верховного Суда Российской Федерации и тем самым создают препятствие для реализации ее конституционных прав.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Яковлевой Галины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