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Анны Юрьевны на нарушение ее конституционных прав статьей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А.Ю.Ивановой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А.Ю.Иванова, которой определением судьи Верховного Суда Российской Федерации было отказано в передаче кассационной жалобы на принятые по делу с ее участием судебные постановления для рассмотрения в судебном заседании Судебной коллегии по гражданским делам Верховного Суда Российской Федерации, просит проверить конституционность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По мнению заявительницы, оспариваемое законоположение не соответствует статьям 46 (часть 1) и 47 (часть 1) Конституции Российской 2 Федерации, поскольку оно во взаимосвязи с пунктом 1 части второй статьи 3907 ГПК Российской Федерации служит основанием для принятия судьей Верховного Суда Российской Федерации единоличного решения об отказе в передаче кассационной жалобы для рассмотрения в судебном заседании суда кассационной инстанции, предрешая выводы, формулирование которых входит в полномочия Судебной коллегии по гражданским делам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Анны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