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1506-О/2023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июня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«Курганская многопрофильная компания» на нарушение его конституционных прав пунктом 1 части 3 статьи 311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общества с ограниченной ответственностью «Курганская многопрофильная компания»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«Курганская многопрофильная компания» (далее также – ООО «КМК») оспаривает конституционность пункта 1 части 3 статьи 311 «Основания пересмотра судебных актов по новым или вновь открывшимся обстоятельствам» АПК Российской Федерации. Как следует из представленных материалов, определениями арбитражного суда, оставленными без изменения арбитражными судами вышестоящих инстанций, ООО «КМК» было отказано в удовлетворении 2 заявлений о пересмотре вступивших в законную силу судебных актов по вновь открывшимся обстоятельствам. Определениями судей Верховного Суда Российской Федерации заявителю отказано в передаче кассационных жалоб для рассмотрения в судебных заседаниях Судебной коллегии по экономическим спорам Верховного Суда Российской Федерации. По мнению заявителя, оспариваемое законоположение по смыслу, придаваемому ему правоприменительной практикой, противоречит Конституции Российской Федерации, ее статьям 18, 46 и 53, поскольку исключает возможность восстановления его имущественных прав.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«Курганская многопрофильная компания»,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