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Кондрахиной Натальи Николаевны на нарушение ее конституционных прав частью 2 статьи 25.1, частью 1 статьи 25.15, пунктами 3 и 5 статьи 29.1 и частью 2 статьи 29.5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Н.Н.Кондрахиной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Н.Н.Кондрахина оспаривает конституционность части 2 статьи 25.1 «Лицо, в отношении которого ведется производство по делу об административном правонарушении», части 1 статьи 25.15 «Извещение лиц, участвующих в производстве по делу об административном правонарушении», пунктов 3 и 5 статьи 29.1 «Подготовка к рассмотрению дела об административном правонарушении» и части 2 статьи 29.5 «Место рассмотрения дела об административном правонарушении» КоАП Российской Федерации. 2 Как следует из представленных материалов, постановлением мирового судьи, оставленным без изменения судами вышестоящих инстанций, заявительница была привлечена к административной ответственности за административное правонарушение, выразившееся в оставлении водителем в нарушение Правил дорожного движения места дорожно-транспортного происшествия, участником которого он являлся (часть 2 статьи 12.27 КоАП Российской Федерации), и ей было назначено административное наказание в виде лишения права управления транспортными средствами на срок один год. Выражая несогласие с судебными решениями, заявительница полагает, что оспариваемые нормы нарушают ее право на судебную защиту, а потому противоречат Конституции Российской Федерации, ее статьям 46 (часть 1) и 47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положения Кодекса Российской Федерации об административных правонарушениях среди прочего закрепляют гарантии прав лица, в отношении которого ведется производство по делу об административном правонарушении, и правила направления ему извещений (статьи 25.1 и 25.15), предусматривают перечень вопросов, выяснение которых необходимо при подготовке к рассмотрению дела об административном правонарушении (статья 29.1), а также определяют место рассмотрения дела об административном правонарушении (статья 29.5). Данные нормы, являясь процессуальной гарантией права на судебную защиту, сами по себе не могут рассматриваться как нарушающие конституционные права заявительницы в аспекте, указанном в жалобе. Доводы, приведенные заявительницей в обоснование своей позиции, свидетельствуют о том, что, формально оспаривая конституционность перечисленных в ее жалобе законоположений, она фактически выражает несогласие с выводами судов, сделанными на основании исследования ими 3 обстоятельств конкретного дела и оценки доказательств. Установление же и исследование фактических обстоятельств, в том числе разрешение вопросов о надлежащем извещении заявительницы о времени и месте рассмотрения дела об административном правонарушении,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Кондрахиной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