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Радаевой Светланы Игоревны на нарушение ее конституционных прав взаимосвязанными положениями пункта 1 статьи 15 и пункта 1 статьи 1064 Гражданского кодекса Российской Федерации, а также частью второй статьи 61, частью четвертой статьи 198 и частью второй статьи 3901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С.И.Радаевой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С.И.Радаева оспаривает конституционность взаимосвязанных положений пункта 1 статьи 15 «Возмещение убытков» и пункта 1 статьи 1064 «Общие основания ответственности за причинение вреда» ГК Российской Федерации, а также части второй статьи 61 «Основания для освобождения от доказывания», части четвертой статьи 198 «Содержание решения суда» и части второй статьи 3901 «Определение кассационного суда общей юрисдикции» ГПК Российской Федерации. 2 Решением мирового судьи, оставленным без изменения судами апелляционной и кассационной инстанций, отказано в удовлетворении требований С.И.Радаевой к управляющей организации о взыскании ущерба, причиненного в результате залива нежилого помещения, неустойки и штрафа. Суды указали на недоказанность истцом размера причиненного ущерба, а также факта причинения вреда некоторым из вещей, которые хранились в нежилом помещении. При этом судами был отклонен довод заявительницы о необходимости оплаты предпринятых ею в день происшествия усилий, поскольку ею не было доказано, что она состояла в трудовых отношениях с ответчиком, равно как и то, что в этот день должна была работать по трудовому договору и не получила заработную плату. По мнению заявительницы, оспариваемые нормы не соответствуют статьям 2, 6 (часть 2), 8 (часть 2), 15, 17, 18, 19 (часть 1), 23 (часть 1), 34 (часть 1), 45, 46 (части 1 и 2), 55, 56 (часть 3), 120 и 123 (часть 3) Конституции Российской Федерации в той мере, в какой по смыслу, придаваемому им правоприменительной практикой, они позволяют судам произвольно распределять бремя доказывания по делам о возмещении вреда, причиненного потребителю, игнорировать доказательства и доводы потребителя по таким делам, соглашаться с немотивированными выводами, не учитывать преюдициальный характер фактов, установленных вступившим в законную силу определением суда, не компенсировать затраты времени и сил, понесенные потребителем в день причинения ущерба, а также не мотивировать надлежащим образом судебные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Радаевой Светланы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