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Манина Алексея Владимировича на нарушение его конституционных прав пунктом 1 статьи 160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А.В.Манина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А.В.Манин оспаривает конституционность пункта 1 статьи 160 «Письменная форма сделки» ГК Российской Федерации. Как следует из представленных материалов, заочным решением суда общей юрисдикции, оставленным без изменения определением суда апелляционной инстанции, среди прочего удовлетворены исковые требования к А.В.Манину о взыскании денежных средств по договору оказания риелторских услуг по продаже недвижимости, процентов за пользование чужими денежными средствами и пени. В передаче кассационной жалобы на эти судебные постановления и определение суда кассационной инстанции, которым они оставлены без изменения, для 2 рассмотрения в судебном заседании Судебной коллегии по гражданским делам Верховного Суда Российской Федерации было отказано. По мнению А.В.Манина, оспариваемое положение не соответствует Конституции Российской Федерации, ее статьям 17 (часть 3), 19 (часть 1), 21 (часть 1), 27 (часть 2), 35 (часть 3), 45, 46 (часть 1) и 55 (часть 2), поскольку оно позволило суду в конкретном деле принять решение в пользу истца, признать заявителя недобросовестным и лишить его денежных средств, что выступило препятствием в судебной защите прав и свобод и повлекло ограничение права на выезд за пределы Российской Федерации. Кроме того, А.В.Манин указывает, что оспариваемое положение – устанавливая, что требование о наличии подписи считается выполненным, если использован любой способ, позволяющий достоверно определить лицо, выразившее волю, – противоречит ряду норм Гражданского кодекса Российской Федерации (в том числе смыслу пункта 1 статьи 160 этого Кодекса) и части седьмой статьи 67 ГПК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свидетельствуют о том, что, формально оспаривая конституционность названной нормы, заявитель, по существу, предлагает Конституционному Суду Российской Федерации оценить обоснованность судебных постановлений, принятых по делу с его участием. Между тем установление и исследование фактических обстоятельств конкретного дела, оценка доказательств, послуживших основанием для применения в нем тех или иных норм права, равно как и проверка соответствия норм одного закона нормам другого закона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Манина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