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Бучинской Галины Вячеславовны на нарушение ее конституционных прав статьями 15, 16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Г.В.Бучинской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Г.В.Бучинская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Решением суда общей юрисдикции, оставленным без изменения судами вышестоящих инстанций, отказано в удовлетворении иска Г.В.Бучинской о возмещении вреда, причиненного незаконным бездействием 2 судебного пристава-исполнителя. Суды указали, что, несмотря на признание бездействия судебного пристава-исполнителя незаконным в судебном порядке, оно не привело к невозможности исполнения решения суда и обращения взыскания на имущество должника. Определением судьи Верховного Суда Российской Федерации отказано в передаче кассационной жалобы Г.В.Бучинской для рассмотрения в судебном заседании суда кассационной инстанции. По мнению заявительницы, оспариваемые положения противоречат статье 53 Конституции Российской Федерации, поскольку они не позволили в конкретном деле возместить вред, причиненный бездействием судебного пристава-исполнителя, признанным судом незаконным. Кроме того, Г.В.Бучинская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15, 16 и 1069 ГК Российской Федерации не препятствуют возмещению вреда при наличии состава гражданского правонарушения, включающего обычно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Бучинской Галины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