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2529-О/2023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Батуры Андрея Николаевича на нарушение его конституционных прав положением части первой статьи 22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А.Н.Батуры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А.Н.Батура оспаривает конституционность части первой статьи 22 Трудового кодекса Российской Федерации, а фактически положения ее абзаца пятого, согласно которому работодатель имеет право требовать от работников исполнения ими трудовых обязанностей. По мнению заявителя, оспариваемое законоположение, примененное в его деле судом, противоречит статьям 1, 19, 37, 46 и 55 Конституции Российской Федерации, поскольку позволяет работодателю вследствие описки в резолютивной части судебного решения не предоставлять работнику прежнее рабочее место после восстановления его на работе и требовать исполнения им трудовых обязанностей на новом рабочем месте.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1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имеются признаки нарушения прав и свобод заявителя в результате применения оспариваемого нормативного акта в конкретном деле с его участием. Конкретным делом является то дело, в котором судом в установленной юрисдикционной процедуре разрешается затрагивающий права и свободы заявителя вопрос на основе положений соответствующего нормативного правового акта, устанавливаются и (или) исследуются фактические обстоятельства (определения Конституционного Суда Российской Федерации от 28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Батуры Андрея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