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3370-О/2023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Новикова Романа Викторовича на нарушение его конституционных прав положением части пятой статьи 374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Р.В.Новикова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Р.В.Новиков оспаривает конституционность части пятой статьи 374 Трудового кодекса Российской Федерации, закрепляющей, что увольнение работников, указанных в ее части первой, по основанию, предусмотренному пунктом 5 части первой статьи 81 данного Кодекса, допускается помимо общего порядка увольнения только с учетом мотивированного мнения соответствующего вышестоящего выборного профсоюзного органа. По мнению заявителя, оспариваемое законоположение, примененное в его деле судами общей юрисдикции, не соответствует статье 15 (части 2 и 4) Конституции Российской Федерации в той мере, в какой в системе 2 действующего правового регулирования по смыслу, придаваемому правоприменительной практикой, позволяет увольнять руководителей выборных коллегиальных органов первичных профсоюзных организаций без соблюдения требований, установленных коллективными договорами и соглашениями.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пятая статьи 374 Трудового кодекса Российской Федерации, устанавливающая особенности процедуры увольнения не освобожденных от основной работы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в связи с неоднократным неисполнением без уважительных причин трудовых обязанностей, если они имеют дисциплинарное взыскание, носит гарантийный характер и ни сама по себе, ни во взаимосвязи с другими положениями данной статьи, определяющими, в частности, порядок и сроки представления работодателю мотивированного мнения соответствующего вышестоящего выборного профсоюзного органа; проведения дополнительных консультаций; принятия, реализации и обжалования окончательного решения работодателя о данном увольнении, а также положениями актов социального партнерства, которые закрепляют дополнительные гарантии защиты вышеназванных категорий работников от необоснованного увольнения, не может расцениваться как нарушающая их права. Проверка же соблюдения работодателем в подобных случаях порядка увольнения работников, в том числе с учетом дополнительных гарантий, установленных коллективным договором и (или) отраслевым соглашением, на обязательности которого при рассмотрении конкретных дел, как видно из жалобы, настаивает заявитель, указывая на неопределенность оспариваемой нормы, не относится к полномочиям Конституционного Суда Российской 3 Федерации, предусмотренным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Новикова Романа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