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Катрич Светланы Николаевны на нарушение ее конституционных прав подпунктом «д» пункта 31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С.Н.Катрич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С.Н.Катрич, участвовавшая в качестве третьего лица, не заявляющего самостоятельные требования, в рассмотрении судебного спора об обязании ресурсоснабжающей организации провести сверку расчетов, оспаривает конституционность подпункта «д» пункта 31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также – Правила). По мнению заявительницы, оспариваемое законоположение не соответствует статьям 35 (часть 1) и 45 (части 1 и 2) Конституции 2 Российской Федерации в той мере, в какой в системе действующего правового регулирования по смыслу, придаваемому ему правоприменительной практикой, оно исходит из достоверности исчисленного исполнителем размера платы за коммунальные услуги, задолженности или переплаты потребителя за коммунальные услуги, начисленных потребителю неустоек (штрафов, пеней) и тем самым придает данному доказательству заранее установленную силу, лишая граждан возможности оспорить правильность предъявленной к уплате суммы, а по сути – права на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подпункта «д» пункта 31 Правил является гарантией прозрачности начисления исполнителями платежей и создает условия для реализации потребителями права, предусмотренного подпунктом «б» пункта 33 Правил, тем самым преследует цель обеспечения баланса интересов указанных лиц. С учетом положения части 2 статьи 67 ГПК Российской Федерации о том, что никакие доказательства не имеют для суда заранее установленной силы, оспариваемая норма не может рассматриваться в качестве нарушающей конституционные права С.Н.Катрич. Характер изложения в жалобе хронологии событий и фактических обстоятельств спора, а также приведенные в ней доводы относительно недостатков, допущенных по мнению заявительницы судами в рамках его рассмотрения, свидетельствуют о том, что фактически она предлагает Конституционному Суду Российской Федерации оценить обстоятельства дела с ее участием и проверить обоснованность вынесенных судебных актов. Между тем разрешение такого рода вопросов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Катрич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