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Кореповой Валентины Пименовны на нарушение ее конституционных прав частью 1 статьи 164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В.П.Кореповой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В.П.Корепова оспаривает конституционность части 1 статьи 164 Жилищного кодекса Российской Федерации, устанавливающей, что при непосредственном управлении многоквартирным домом собственниками помещений в таком доме договоры оказания услуг по содержанию и (или) выполнению работ по ремонту общего имущества в таком доме с лицами, осуществляющими соответствующие виды деятельности, собственники помещений в таком доме заключают на основании решений общего собрания указанных собственников; при этом все или большинство собственников помещений в таком доме выступают в качестве одной стороны заключаемых договоров. 2 Как следует из представленных материалов, решением суда общей юрисдикции, оставленным без изменения судом апелляционной инстанции, отказано в удовлетворении исковых требований соистцов, в том числе В.П.Кореповой, о признании незаконным распоряжения в части определения управляющей организации, признании многоквартирного дома находящимся под непосредственным управлением, признании договора управления многоквартирным домом незаключенным. Суд кассационной инстанции согласился с постановлениями нижестоящих судов. По мнению заявительницы, оспариваемое положение противоречит Конституции Российской Федерации, в частности ее статье 55, поскольку оно ограничивает право собственников квартир в многоквартирном доме, количество квартир в котором составляет не более чем тридцать, на самостоятельное осуществление деятельности, связанной с содержанием такого дома и ремонтом общего имущества в этом доме, без привлечения на постоянной основе третьих лиц.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3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исчерпаны все другие внутригосударственные средства судебной защиты прав заявителя при разрешении конкретного дела. При этом под таким исчерпанием понимается подача в соответствии с законодательством о соответствующем виде судопроизводства заявителем кассационной жалобы в суд максимально высокой для данной категории дел инстанции или в случае, если вступившие в силу судебные акты по данной категории дел подлежат обжалованию только в надзорном порядке, надзорной жалобы, если судебный акт, в котором был применен оспариваемый нормативный акт, был предметом кассационного или надзорного обжалования в связи с применением этого нормативного акта, а подача кассационной или 3 надзорной жалобы не привела к устранению признаков нарушения конституционных прав. Между тем представленные судебные постановления не подтверждают факта исчерпания заявительницей внутригосударственных средств судебной защиты ее прав при разрешении конкретного дела.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Кореповой Валентины Пименовны,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