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Крестьянинова Александра Михайловича на нарушение его конституционных прав пунктом 1 статьи 15 и пунктом 1 статьи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А.М.Крестьянинова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А.М.Крестьянинов оспаривает конституционность пункта 1 статьи 15 «Возмещение убытков» и пункта 1 статьи 1064 «Общие основания ответственности за причинение вреда» ГК Российской Федерации. Решением суда общей юрисдикции с учетом его частичного изменения судом апелляционной инстанции с А.М.Крестьянинова, бывшего государственного гражданского служащего, замещавшего должность судебного пристава-исполнителя, по иску Федеральной службы судебных приставов взыскан в порядке регресса ущерб, причиненный им третьему лицу при исполнении служебных обязанностей и взысканный судом в пользу 2 третьего лица с Российской Федерации. Отвергая довод ответчика о несоблюдении истцом обязанности установить размер причиненного последнему ущерба и причины его возникновения в порядке, предусмотренном статьей 247 Трудового кодекса Российской Федерации, суды указали, что факт причинения ущерба действиями А.М.Крестьянинова, его вина, размер ущерба, а также отсутствие обстоятельств, исключающих материальную ответственность А.М.Крестьянинова, установлены вступившим в законную силу решением суда, имеющим преюдициальное значение для рассматриваемого дела. Решение суда первой инстанции в неизмененной части и определение суда апелляционной инстанции оставлены без изменения кассационным судом общей юрисдикции.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А.М.Крестьянинова, оспариваемые положения не соответствуют статьям 19 (части 1 и 2), 23 (часть 1), 55 (части 2 и 3) и 123 (часть 3) Конституции Российской Федерации, поскольку они во взаимосвязи с положениями главы 39 «Материальная ответственность работника» Трудового кодекса Российской Федерации являются неопределенными и допускают возможность их неоднозначного истолкования.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15 и пункт 1 статьи 1064 ГК Российской Федерации, закрепляющие гарантии защиты и восстановления нарушенных прав потерпевших путем полного возмещения причиненного им вреда, служат цели реализации закрепленного в Конституции Российской Федерации принципа охраны права частной собственности законом (статья 35, часть 1), не содержат неопределенности, не допускают произвольного истолкования и не могут рассматриваться как нарушающие конституционные права А.М.Крестьянинова в обозначенном в его жалобе аспекте. 3 Проверка же обоснованности привлечения заявителя к материальной ответственности, а также соблюдения работодателем соответствующей процедуры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Крестьянинова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