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Алеевой Гульнары Файстрахмановны на нарушение ее конституционных прав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Г.Ф.Алеевой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Г.Ф.Алеева оспаривает конституционность абзаца третьего статьи 220 «Основания прекращения производства по делу»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прекращено производство по делу, в рамках которого рассматривалось исковое требование Г.Ф.Алеевой к юридическому лицу о возмещении ущерба, причиненного преступлением.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Г.Ф.Алеевой,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статьям 19, 35, 45, 46 (части 1 и 2) и 55 Конституции Российской Федерации, поскольку препятствует гражданину возместить причиненный ему ущерб в полном объеме в случае, если ранее предъявленное требование о частичном возмещении этого ущерба удовлетворено судом.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статьи 220 ГПК Российской Федерации предусматривает возможность прекращения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Данное законоположение пресекает рассмотрение судами тождественных требований (между теми же сторонами, о том же предмете и по тем же основаниям) и не может расцениваться в качестве нарушающего конституционные права заявительницы. Определение же в каждом конкретном случае того, тождественны ли заявленные требования ранее рассмотренным судом, – исключительная прерогатива рассматривающего дело суда, которая вытекает из принципа самостоятельности судебной власти и является проявлением его дискреционных полномочий. Гарантией процессуальных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Алеевой Гульнары Файстрахмановны,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