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3411-О/2023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Ситолиевой Валентины Галимовны и Часовниковой Евгении Львовны на нарушение их конституционных прав статьей 3906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В.Г.Ситолиевой и Е.Л.Часовниковой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В.Г.Ситолиева и Е.Л.Часовникова, которым, согласно их обращению, Верховным Судом Российской Федерации была возвращена кассационная жалоба, оспаривают конституционность статьи 3906 «Возвращение кассационных жалобы, представления без рассмотрения по существу» ГПК Российской Федерации. По мнению заявительниц, оспариваемое законоположение противоречит статьям 19 (часть 1) и 46 (часть 1) Конституции Российской Федерации, поскольку не определяет порядка возвращения кассационных жалоб, представления без рассмотрения по существу, в том числе не 2 предусматривая обязанности судьи Верховного Суда Российской Федерации выносить соответствующее определение и возможности обжалования такого возвращения. Кроме того, В.Г.Ситолиева и Е.Л.Часовникова просят признать их кассационную жалобу подлежащей передаче для рассмотрения в судебном заседании Судебной коллегией по гражданским делам Верховного Суда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целях обеспечения надлежащего порядка обращения заинтересованного лица с кассационной жалобой статья 3906 ГПК Российской Федерации, в частности, предусматривает возможность возвращения без рассмотрения по существу кассационных жалоб, не отвечающих установленным законом требованиям. Данная статья не предполагает произвольного возвращения кассационной жалобы по не предусмотренным в законе основаниям, не препятствует повторной подаче такой жалобы после устранения обстоятельств, послуживших основанием для ее возвращения, и не лишает заинтересованное лицо права на ее рассмотрение в установленном для этого порядке. Таким образом, статья 3906 ГПК Российской Федерации, находящаяся в системной связи с другими положениями главы 41 данного Кодекса, призвана обеспечить создание условий для исправления в кассационном порядке возможных судебных ошибок и не может расцениваться как нарушающая конституционные права заявительниц. Что касается вопроса о передаче кассационной жалобы В.Г.Ситолиевой и Е.Л.Часовниковой для рассмотрения в судебном заседании суда кассационной инстанции, то его разрешение к компетенции Конституционного Суда Российской Федерации, установленной статьей 125 Конституции Российской Федерации и статьей 3 Федерального 3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Ситолиевой Валентины Галимовны и Часовниковой Евгении Львовны,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