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Мельника Виктора Сергеевича на нарушение его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В.С.Мельника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В.С.Мельник, неоднократно обращавшийся в суд с жалобами в порядке статьи 125 УПК Российской Федерации, утверждает, что статья 125 «Судебный порядок рассмотрения жалоб» УПК Российской Федерации не соответствует Конституции Российской Федерации, поскольку препятствует судебной проверке допустимости доказательств на стадии предварительного расследования.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Применительно к судебному контролю за решениями, действиями (бездействием) органов и их должностных лиц, ведущих досудебное производство по уголовному делу,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Мельника Виктора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