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Литвинова Юрия Николаевича на нарушение его конституционных прав пунктом 1 статьи 1651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Ю.Н.Литвинова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упрощенного производства решением суда с гражданина Ю.Н.Литвинова в пользу юридического лица взысканы денежные средства. Вышестоящие суды согласились с этим судебным решением, отклонив, в частности, доводы заявителя о его ненадлежащем извещении о судебном разбирательстве, отсутствии доказательств направления ему и получения им судебной корреспонденции по данному делу, непринятии судом необходимых мер по его надлежащему извещению, что привело к нарушению его прав. 2 В связи с этим заявитель полагает пункт 1 статьи 1651 «Юридически значимые сообщения» ГК Российской Федерации не соответствующим Конституции Российской Федерации, ее статьям 16 (часть 1) и 123 (часть 3), в той мере, в какой он по смыслу, придаваемому ему правоприменительной практикой, допускает рассмотрение судом гражданского дела без надлежащего уведомления сторон о судебном разбирательстве.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1651 ГК Российской Федерации, в том числе признающая юридически значимое сообщение доставленным в случаях, если оно поступило лицу, которому оно направлено (адресату), но по обстоятельствам, зависящим от этого лица, не было ему вручено или адресат не ознакомился с ним, подлежит применению также к судебным извещениям и вызовам, если гражданским процессуальным или арбитражным процессуальным законодательством не предусмотрено иное (пункт 68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Такое правовое регулирование призвано пресечь злоупотребления лиц, участвующих в деле, связанные с намеренным неполучением судебных извещений и затягиванием рассмотрения дела судом, тем самым способствует достижению задач гражданского судопроизводства по правильному и своевременному рассмотрению гражданских дел. Таким образом, статья 1651 ГК Российской Федерации не может расцениваться как нарушающая конституционные права заявителя в конкретном деле, в котором суды отметили, что копия искового заявления с приложенными документами направлялась по адресу регистрации и проживания ответчика истцом на основании пункта 6 статьи 132 ГПК Российской Федерации, что подтверждалось соответствующими документами.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Литвинова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