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«Авеню безопасности» на нарушение его конституционных прав статьей 723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«Авеню безопасности»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«Авеню безопасности» (далее также – общество) оспаривает конституционность статьи 723 «Ответственность подрядчика за ненадлежащее качество работы» ГК Российской Федерации. Как следует из представленных материалов, решением арбитражного суда, с которым согласились арбитражные суды вышестоящих инстанций, удовлетворены исковые требования заявителя к образовательной организации о взыскании задолженности за выполненные работы по контракту; встречный иск удовлетворен частично, на общество возложена обязанность устранить недостатки выполненных работ. 2 По мнению заявителя, оспариваемая норма противоречит статьям 8, 34 и 35 Конституции Российской Федерации, поскольку позволяет возлагать на подрядчика ответственность за недостатки результата работ, допущенные по вине заказчика, проектной организации или третьих лиц, а также обязанность выполнять дополнительные работы, не учтенные локально-сметным расчетом. Кроме того, общество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«Авеню безопасности»,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