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2279-О/2024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сентября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«Право и Финансы» на нарушение его конституционных прав статьей 311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«Право и Финансы»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«Право и Финансы» (далее также – ООО «Право и Финансы») оспаривает конституционность статьи 311 «Основания пересмотра судебных актов по новым или вновь открывшимся обстоятельствам» АПК Российской Федерации. Как следует из представленных материалов, определением арбитражного суда, оставленным без изменения арбитражными судами вышестоящих инстанций, ООО «Право и Финансы» отказано в удовлетворении заявления о пересмотре вступившего в законную силу решения этого же арбитражного суда по вновь открывшимся обстоятельствам. 2 Определением судьи Верховного Суда Российской Федерации, с которым согласился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«Право и Финансы»,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