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Грязнова Виктора Александровича на нарушение его конституционных прав отдельными положениями Жилищного кодекса Российской Федерации, Гражданского кодекса Российской Федерации и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В.А.Грязнова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В.А.Грязнов оспаривает конституционность следующих нормативных положений: части 2 статьи 1 «Основные начала жилищного законодательства», статей 69 «Права и обязанности членов семьи нанимателя жилого помещения по договору социального найма» и 71 «Права и обязанности временно отсутствующих нанимателя жилого помещения по договору социального найма и членов его семьи», части 3 статьи 83 «Расторжение и прекращение договора социального найма жилого помещения» Жилищного кодекса Российской Федерации; 2 пункта 1 статьи 20 «Место жительства гражданина» ГК Российской Федерации; статей 53 «Права и обязанности членов семьи нанимателя» и 54 «Право нанимателя на вселение других граждан в занимаемое им жилое помещение», части 2 статьи 89 «Расторжение договора найма жилого помещения» Жилищного кодекса РСФСР (утратил силу с 1 марта 2005 года в соответствии с Федеральным законом от 29 декабря 2004 года № 189-ФЗ «О введении в действие Жилищного кодекса Российской Федерации»). Как следует из представленных материалов, решением суда общей юрисдикции, с которым согласились суды вышестоящих инстанций, В.А.Грязнов, в частности, признан утратившим право пользования жилым помещением. Определением судьи Верховного Суда Российской Федерации от 31 октября 2019 года, с которым согласился заместитель Председателя того же суда (письмо от 4 февраля 2020 года),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В.А.Грязнова, оспариваемые нормы противоречат статьям 19 (часть 1), 39 (часть 1) и 40 (части 1 и 3) Конституции Российской Федерации в той мере, в какой по смыслу, придаваемому правоприменительной практикой, они допускают возможность признания заявителя утратившим право пользования жилым помещением.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Предусмотренный названной нормой Федерального 3 конституционного закона «О Конституционном Суде Российской Федерации» годичный срок после рассмотрения дела гражданина судом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Грязнова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