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«Парк Подвязново» на нарушение его конституционных прав подпунктом 15 пункта 2 статьи 146 и подпунктом 2 пункта 3 статьи 170 Налогового кодекса Российской Федерации, а также пунктами 1 и 3 статьи 5 и пунктом 2 статьи 134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«Парк Подвязново»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«Парк Подвязново» (далее – ООО «Парк Подвязново») в лице конкурсного управляющего оспаривает конституционность подпункта 15 пункта 2 статьи 146 «Объект налогообложения», подпункта 2 пункта 3 статьи 170 «Порядок отнесения сумм налога на затраты по производству и реализации товаров (работ, услуг)» главы 21 «Налог на добавленную стоимость» Налогового кодекса Российской Федерации, а также пунктов 1 и 3 статьи 5 «Текущие платежи» и пункта 2 статьи 134 «Очередность удовлетворения требований кредиторов» 2 Федерального закона от 26 октября 2002 года № 127-ФЗ «О несостоятельности (банкротстве)». Как следует из представленных материалов, вступившими в законную силу актами арбитражных судов определено, что требование об уплате суммы налога на добавленную стоимость, ранее принятой к вычету налогоплательщиком и восстановленной им после реализации имущества в рамках дела о несостоятельности (банкротстве), относится к пятой очереди текущих платежей. По мнению ООО «Парк Подвязново», оспариваемые законоположения противоречат статьям 1 (часть 1), 6 (часть 2), 8 (часть 2), 19 (часть 1), 34 (часть 1), 35 (части 1 и 3) и 57 Конституции Российской Федерации, поскольку позволяют относить требование об уплате суммы налога на добавленную стоимость, восстановленной по результатам продажи имущества банкрота, к текущим платежам.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ранее принятых и сохраняющих свою силу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«Парк Подвязново»,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