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Порываева Андрея Анатольевича на нарушение его конституционных прав частью первой статьи 392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А.А.Порываева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А.А.Порываев оспаривает конституционность части первой статьи 392 Трудового кодекса Российской Федерации, а фактически ее положение, в соответствии с которым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права. По мнению заявителя, оспариваемая норма, примененная в его деле судами общей юрисдикции, не соответствует статьям 37 (части 3 и 4), 45 и 46 (части 1 и 2) Конституции Российской Федерации, поскольку позволяет судам общей юрисдикции не принимать во внимание длящийся характер нарушения 2 прав работника и признавать пропущенным трехмесячный срок обращения в суд за разрешением индивидуального трудового спора.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Порываева Андрея Анатольевича,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