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Дубровского Владимира Анатольевича на нарушение его конституционных прав статьей 1072 и пунктом 1 статьи 1086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В.А.Дубровского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В.А.Дубровский оспаривает конституционность статьи 1072 «Возмещение вреда лицом, застраховавшим свою ответственность» и пункта 1 статьи 1086 «Определение заработка (дохода), утраченного в результате повреждения здоровья»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искового требования заявителя к бывшему работодателю о взыскании утраченного заработка в размере, рассчитанном как разница между размером утраченного заработка и размером страховых выплат по производственной травме и профессиональному заболеванию. В обоснование 2 иска было среди прочего указано, что при определении размера возмещения следует исходить из факта полной утраты профессиональной трудоспособности. По мнению заявителя, оспариваемые нормы не соответствуют статьям 18, 19 (части 1 и 2), 45 (часть 1), 46 (часть 1), 52, 55 и 751 Конституции Российской Федерации, поскольку ограничивают право пострадавшего на возмещение в полном объеме разницы между размером заработка на момент причинения вреда здоровью и размером назначенных страховых выплат в связи с повреждением здоровья вследствие несчастного случая на производстве и профессионального заболевания.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направлены на обеспечение восстановления нарушенных, в том числе в результате причинения вреда здоровью, прав граждан путем полного возмещения вреда и тем самым на реализацию положений Конституции Российской Федерации, в частности ее статьи 52. Сами по себе они не могут рассматриваться как нарушающие указанные в жалобе конституционные права заявителя, чьи доводы о том, что он полностью утратил профессиональную трудоспособность, были предметом судебной оценки в его деле и опровергнуты доказательствами, на основании которых суды пришли к выводу, что размер страховой выплаты, установленной В.А.Дубровскому исходя из размера утраченного им заработка с учетом степени утраты профессиональной трудоспособности, полностью возмещает утраченный заработок. Исследование же фактических обстоятельств конкретного дела, включая степень утраты профессиональной трудоспособности и размер подлежащего возмещению вреда,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Дубровского Владимира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