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2414-О/2024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Шевчука Николая Анатольевича на нарушение его конституционных прав частью 7 статьи 11 и частью 7 статьи 13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Н.А.Шевчука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Н.А.Шевчук оспаривает конституционность части 7 статьи 11 «Обеспечение энергетической эффективности зданий, строений, сооружений» и части 7 статьи 13 «Обеспечение учета используемых энергетических ресурсов и применения приборов учета используемых энергетических ресурсов при осуществлении расчетов за энергетические ресурсы»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2 Из представленных материалов следует, что решением суда общей юрисдикции, с которым согласились суды вышестоящих инстанций, заявителю отказано в удовлетворении требования о возложении на застройщика обязанности обеспечить квартиру Н.А.Шевчука индивидуальным прибором учета тепловой энергии. Суды при этом исходили из отсутствия технической возможности установки такого прибора учета в связи с тем, что многоквартирный дом, в котором расположена квартира заявителя, имеет вертикальную разводку системы отопления, в доме предусмотрены распределители тепла. По мнению заявителя, оспариваемые нормы не соответствуют статьям 17, 19, 45, 46 и 55 Конституции Российской Федерации в той мере, в какой в системе действующего правового регулирования, по смыслу, придаваемому им правоприменительной практикой, они позволяют застройщику не исполнять возложенную на него законом обязанность по оснащению многоквартирных домов индивидуальными приборами учета тепловой энергии. Кроме того, Н.А.Шевчук просит проверить конституционность судебных постановлений, принятых по делу с его участием.</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заявителем в жалобе (в частности, о том, что выводы судов основаны лишь на возражениях ответчика, суды неверно проанализировали обстоятельства дела, не истребовали необходимые доказательства и т.д.), свидетельствуют о том, что он, формально оспаривая конституционность указанных в жалобе положений, фактически просит проверить правильность их применения судами в конкретном деле с его участием. Между тем такая проверка, предполагающая установление и оценку фактических обстоятельств конкретного дела, равно как и разрешение иных вопросов, поставленных в жалобе, не входит в полномочия Конституционного Суда Российской Федерации, закрепленные в статье 125 3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Шевчука Николая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