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главы 6 «Доказательства и доказывание», статей 159 «Объяснения лиц, участвующих в деле», 176 «Законность и обоснованность решения суда» и 180 «Содержание решения суда» КАС Российской Федерации. Как следует из представленных материалов, решением районного суда, с которым согласились вышестоящие суды, В.И.Попкову отказано в удовлетворении административного искового заявления об оспаривании 2 меры взыскания за нарушение установленного порядка отбывания наказания и о компенсации морального вреда. По мнению заявителя, оспариваемые законоположения не соответствуют Конституции Российской Федерации, поскольку позволяют административному ответчику при рассмотрении дела об оспаривании меры взыскания указывать новые основания ее 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