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1952-О/2024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Скобелина Владимира Владимировича на нарушение его конституционных прав пунктом 2 статьи 1153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В.В.Скобелина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В.В.Скобелин оспаривает конституционность пункта 2 статьи 1153 «Способы принятия наследства» ГК Российской Федерации. Как следует из представленных материалов, решением суда общей юрисдикции, с которым согласились суды вышестоящих инстанций, В.В.Скобелину отказано в удовлетворении требований, направленных на признание права собственности на наследственное имущество. Суд установил, что ответчик является единственным лицом, принявшим наследство. 2 По мнению заявителя, оспариваемая норма противоречит статьям 7 (часть 1), 18 и 40 (часть 1) Конституции Российской Федерации, поскольку не позволяет рассматривать в качестве действий по фактическому принятию наследства регистрацию по месту жительства в жилом помещении, принадлежавшем наследодателю, на момент смерти последнего, а также защищать подтверждаемые регистрацией по месту жительства права пользования и владения наследственным имуществом в течение длительного времени вне зависимости от места фактического пребывания наследника в момент смерти наследодателя и в последующие шесть месяцев.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Постановлением Конституционного Суда Российской Федерации от 27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Скобелина Владимира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