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Карташова Александра Васильевича на нарушение его конституционных прав статьями 120, 122 и 40117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А.В.Карташова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 от 21 февраля 2023 года, от 28 июня 2023 года и от 28 июля 2023 года очередные жалобы гражданина А.В.Карташова, поименованные им в том числе апелляционной и надзорной, на вынесенный в его отношении в 2010 году приговор районного суда и последующие судебные решения возвращены без рассмотрения как повторные с разъяснением, что данные решения уже выступали предметом изучения Верховного Суда Российской Федерации в 2013 и 2015 годах, а также что ответы сотрудников областного суда и судей Верховного Суда Российской Федерации не являются судебными решениями, подлежащими обжалованию в суд кассационной инстанции. 2 В данной связи заявитель просит признать не соответствующими статьям 46 (часть 1), 47 (часть 1), 50 (часть 3), 56 (часть 3) и 123 (часть 3) Конституции Российской Федерации статьи 120 «Заявление ходатайства», 122 «Разрешение ходатайства» и 40117 «Недопустимость внесения повторных кассационных жалобы, представления» УПК Российской Федерации, утверждая, что данные нормы нарушают его права, поскольку позволили отказать в рассмотрении его жалоб, преградив доступ к правосудию.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Карташова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