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Литвинюка Владимира Ильича на нарушение его конституционных прав статьей 73 Закона Российской Федерации «О статусе столицы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В.И.Литвинюка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В.И.Литвинюк оспаривает конституционность статьи 73 «Гарантии жилищных прав собственников жилых помещений и нанимателей жилых помещений в многоквартирных домах, включенных в программу реновации» Закона Российской Федерации от 15 апреля 1993 года № 4802-I «О статусе столицы Российской Федерации». Как следует из представленных материалов, решением суда общей юрисдикции, оставленным без изменения определением суда апелляционной инстанции, удовлетворены исковые требования к В.И.Литвинюку о прекращении права собственности, о выселении с предоставлением другого 2 благоустроенного жилого помещения. Определением суда кассационной инстанции указанные судебные постановления оставлены без изменения. По мнению заявителя, статья 73 Закона Российской Федерации «О статусе столицы Российской Федерации» противоречит статьям 27 и 42 Конституции Российской Федерации, поскольку она ограничивает его права собственника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Между тем представленные судебные решения не подтверждают факта исчерпания заявителем внутригосударственных средств судебной защиты его прав при разрешении дела с его участием.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Литвинюка Владимира Ильича,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