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Широких Алексея Вячеславовича на нарушение его конституционных прав частью первой статьи 381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А.В.Широких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А.В.Широких оспаривает конституционность части первой статьи 381 Трудового кодекса Российской Федерации, закрепляющей понятие индивидуального трудового спора. По мнению заявителя, оспариваемая норма, примененная в его деле судами общей юрисдикции, противоречит статье 39 (части 1 и 2) Конституции Российской Федерации, поскольку она в системе действующего правового регулирования по смыслу, придаваемому правоприменительной практикой, позволяет относить спор между работником и работодателем по поводу надлежащей уплаты налога на доходы физических лиц и страховых взносов к индивидуальным трудовым спорам, что создает для работодателя возможность 2 уклоняться от уплаты указанного налога и страховых взносов и приводит к снижению размера социального обеспечения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Широких Алексея Вячеславовича,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