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Шабаля Сергея Викторовича на нарушение его конституционных прав статьей 29.10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С.В.Шабаля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С.В.Шабаль оспаривает конституционность статьи 29.10 «Постановление по делу об административном правонарушении» КоАП Российской Федерации. Как следует из представленных материалов, постановлением уполномоченного должностного лица С.В.Шабаль был признан виновным в совершении административного правонарушения, предусмотренного частью 5 статьи 12.16 «Несоблюдение требований, предписанных дорожными знаками или разметкой проезжей части дороги» КоАП Российской Федерации. Определением судьи районного суда, оставленным без изменения вышестоящими судами, жалоба заявителя на указанное 2 постановление оставлена без рассмотрения ввиду пропуска срока на ее подачу (ходатайство о восстановлении данного срока не подавалось). По мнению заявителя, оспариваемое законоположение не соответствует статье 49 (часть 3) Конституции Российской Федерации, поскольку позволяет привлекать к административной ответственности за несоблюдение требований дорожного знака, запрещающего остановку транспортных средств, без подтверждения данных о том, что такой знак действительно был установлен в момент фиксации административного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Шабаля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