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Кирьяновой Анны Геннадьевны на нарушение ее конституционных прав пунктом 1 части второй статьи 3904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А.Г.Кирьяновой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А.Г.Кирьянова оспаривает конституционность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апелляционным определением, оставленным без изменения определением кассационного суда общей юрисдикции, отменено решение мирового судьи по делу с участием А.Г.Кирьяновой и вынесено новое решение. Кассационная жалоба заявительницы на указанные постановления судов апелляционной и 2 кассационной инстанции, направленная в судебную коллегию Верховного Суда Российской Федерации, была возвращена Верховным Судом Российской Федерации без рассмотрения по существу. По мнению А.Г.Кирьяновой, оспариваемое законоположение не соответствует Конституции Российской Федерации, в том числе ее статьям 46 (часть 1) и 55 (часть 2), поскольку оно исключает возможность подачи кассационной жалобы в Судебную коллегию по гражданским делам Верховного Суда Российской Федерации на определение кассационного суда общей юрисдикции, которым было оставлено без изменения апелляционное определение об отмене постановления мирового судьи и принятии нового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Кирьяновой Анны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