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Барладяна Андрея Милентьевича на нарушение его конституционных прав абзацем пятым пункта 12 статьи 110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А.М.Барладяна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общества с ограниченной ответственностью и оставленным без изменения постановлениями судов апелляционной и кассационной инстанций, было отказано в удовлетворении ряда требований гражданина А.М.Барладяна, в том числе о признании незаконными торгов в форме публичного предложения. А.М.Барладян оспаривает конституционность абзаца пятого пункта 12 статьи 110 «Продажа предприятия должника» Федерального закона от 26 октября 2002 года № 127-ФЗ «О несостоятельности (банкротстве)». 2 По мнению заявителя, данное законоположение противоречит статьям 45 и 46 Конституции Российской Федерации, а также пункту 5 статьи 448 ГК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предоставляет организатору торгов право на самостоятельный выбор участников торгов, которые не выполнили необходимые условия, установленные нормами данного Кодекса и сообщением о проведении торгов, размещенном в едином федеральном реестре сведений о банкротстве. Кроме того, заявитель просит отменить судебные акты, вынесенные по делу с его участием.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Барладяна Андрея Милентьевича,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