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16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нельниковой Веры Михайловны на нарушение ее конституционных прав пунктом 2 статьи 218 и частью первой статьи 111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М.Синель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М.Синельникова, которой было отказано в удовлетворении иска об исключении земельной доли из наследственной массы, оспаривает конституционность следующих положений Гражданского кодекса Российской Федерации: пункта 2 (в жалобе ошибочно названного частью 2) статьи 218, предусматривающего, в частности, что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; части первой статьи 1112 (в жалобе ошибочно именуемой пунктом 1) о вхождении в состав наследства принадлежавших наследодателю на день 2 открытия наследства вещей, иного имущества, в том числе имущественных прав и обязанностей. По мнению заявительницы, оспариваемые законоположения не соответствуют статье 35 (части 2 и 4) Конституции Российской Федерации, поскольку они по смыслу, придаваемому им правоприменительной практикой, позволяют гражданам распоряжаться посредством составления завещания земельным участком, предоставленным им на праве пожизненного наследуемого владения, в то время как такое распоряжение допустимо только в отношении земельных участков, находящихся в собственности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нельниковой Вер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