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Кудряшовой Любови Николаевны на нарушение ее конституционных прав статьей 259 и пунктом 11 части второй статьи 38917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Л.Н.Кудряшовой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Л.Н.Кудряшова, оправдательный приговор в отношении которой был отменен судом апелляционной инстанции и уголовное дело передано на новое судебное разбирательство в суд первой инстанции, оспаривает конституционность статьи 259 «Протокол судебного заседания» и пункта 11 части второй статьи 38917 «Существенные нарушения уголовно- процессуального закона» УПК Российской Федерации. По мнению заявительницы, оспариваемые нормы не обеспечивают государственную защиту прав и законных интересов обвиняемых по уголовным делам частного обвинения по сравнению с делами публичного и частно-публичного 2 обвинения, а потому противоречат статьям 19 (часть 1), 45 (часть 1) и 46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Кудряшовой Любови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