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«Политехно» на нарушение его конституционных прав статьей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«Политехно»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«Политехно» (далее также – ООО «Политехно», общество) оспаривает конституционность статьи 166 «Оспоримые и ничтожные сделки» ГК Российской Федерации. Как следует из представленных материалов, решением арбитражного суда, с которым согласились суды вышестоящих инстанций, признан недействительным (ничтожным) муниципальный контракт, заключенный между муниципальным заказчиком и ООО «Политехно». Суды исходили из того, что заказчик создал для ООО «Политехно» преимущественные условия участия в торгах, выразившиеся в заключении контракта в отсутствие предоставленного обеспечения его исполнения; судами установлено, что 2 обеспечение было внесено на специальный счет заказчика лишь после повторного направления обществу проекта контракта в результате исполнения заказчиком предписания антимонопольного органа, которое на момент рассмотрения спора признано незаконным и отменено вступившим в законную силу решением арбитражного суда. Из материалов дела также следует, что апелляционным постановлением арбитражного суда по другому делу, с которым согласились суды кассационной инстанции, отказано в удовлетворении иска ООО «Политехно» к муниципальному заказчику о взыскании задолженности по указанному муниципальному контракту. Суд учел факт признания контракта недействительным, исходил из того, что заключение данного контракта не являлось обязательным для истца, а также установил отсутствие фактического исполнения контракта. По мнению заявителя, оспариваемая норма противоречит статье 46 Конституции Российской Федерации, поскольку применяется к сделкам, обязательность совершения которых установлена законом и которые совершены до возникновения перспективы их оспаривания в связи с отменой предписания антимонопольного органа.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166 ГК Российской Федерации развивает положения статьи 15 (часть 2) Конституции Российской Федерации об обязанности граждан и их объединений соблюдать Конституцию Российской Федерации и законы и имеет целью обеспечение стабильности гражданского оборота, защиту прав и законных интересов его участников и не может рассматриваться в качестве нарушающей конституционные права заявителя. Доводы же, приведенные заявителем в обоснование своей позиции, свидетельствуют о том, что, формально оспаривая конституционность данной нормы, он фактически просит проверить обоснованность судебных актов по конкретным делам с его участием. Между тем такая проверка не 3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«Политехно»,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