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Шарова Михаила Александровича на нарушение его конституционных прав частью третьей статьи 20 Уголовно-процессуального кодекса Российской Федерации, а также статьями 2 и 7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М.А.Шарова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М.А.Шаров, привлекавшийся к уголовной ответственности, оспаривает конституционность статей 2 «Задачи оперативно-розыскной деятельности» и 7 «Основания для проведения оперативно-розыскных мероприятий» Федерального закона от 12 августа 1995 года № 144-ФЗ «Об оперативно-розыскной деятельности», а также части третьей статьи 20 «Виды уголовного преследования» УПК Российской Федерации. По мнению заявителя, данные законоположения противоречат статьям 18 и 21 Конституции Российской Федерации, поскольку позволяют в отсутствие заявления потерпевшего проводить оперативно-розыскные 2 мероприятия по документированию деяния, производство по которому будет осуществляться в порядке частно-публичного обвинения, что влечет нарушение процедуры возбуждения уголовного дела и создает условия для вынесения произвольного судебного решения по этому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Шарова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