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2923-О/2024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Александрова Андрея Владимировича на нарушение его конституционных прав статьей 125 и частью третьей статьи 217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А.В.Александрова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А.В.Александров просит признать не соответствующими Конституции Российской Федерации, ее статьям 2, 18, 19 (часть 1), 24 (часть 2), 29 (часть 4), 45 (часть 2), 48, 49 (часть 1) и 55 (часть 3), статью 125 «Судебный порядок рассмотрения жалоб» и часть третью статьи 217 «Ознакомление обвиняемого и его защитника с материалами уголовного дела» УПК Российской Федерации в той мере, в какой они позволяют суду извещать заинтересованных лиц менее чем за 5 суток о месте, дате и времени судебного заседания, в котором рассматривается вопрос об ограничении обвиняемого и его защитника во 2 времени для ознакомления с материалами уголовного дела, не предоставляя достаточного времени для подготовки к судебному заседанию, а также позволяют исполнять постановление суда об ограничении обвиняемого и его защитника во времени для ознакомления с материалами уголовного дела до его вступления в законную силу.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(лица, в интересах которого подана жалоба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Александрова Андрея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