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Бедрина Игоря Николаевича на нарушение его конституционных прав статьей 91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И.Н.Бедрина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И.Н.Бедрин оспаривает конституционность статьи 91 «Цена иска»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И.Н.Бедрину возвращено исковое заявление к юридическому лицу о взыскании 19 900 рублей (суммы, уплаченной за товар) и 100 000 рублей (компенсации морального вреда), истцу разъяснено право обратиться с данным исковым заявлением к мировому судье. При этом суд исходил из того, что цена заявленного иска составляет 19 900 рублей, поскольку 2 требование о компенсации морального вреда является производным от требования о взыскании суммы, оплаченной по договору.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И.Н.Бедрин просит признать неконституционным оспариваемое законоположение в той мере, в какой оно, допуская возможность его произвольного применения, лишает гражданина права на рассмотрение дела в том суде и тем судьей, к подсудности которых оно отнесено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91 ГПК Российской Федерации, предусматривая правила определения цены иска и устанавливая обязанность истца указать такую цену, допускает определение цены иска судьей при принятии искового заявления в случае явного несоответствия указанной цены действительной стоимости истребуемого имущества. Данное законоположение, рассматриваемое также с учетом разъяснения Пленума Верховного Суда Российской Федерации о том, что если одновременно с требованием имущественного характера, подсудным мировому судье, заявлено производное от него требование о компенсации морального вреда (например, по делам о защите прав потребителей), то такие требования подсудны мировому судье, независимо от заявленной истцом суммы компенсации морального вреда (пункт 57 постановления от 15 ноября 2022 года № 33 «О практике применения судами норм о компенсации морального вреда»), способствует определению подсудности конкретного дела, реализации тем самым права каждого на рассмотрение его дела в том суде и тем судьей, к подсудности которых оно отнесено законом (статья 47, часть 1, Конституции Российской Федерации), и не содержит указанной 3 И.Н.Бедриным неопределенности, допускающей возможность его произвольного применения, а потому не может расцениваться как нарушающее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Бедрина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