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обращения гражданки Романовой Тамары Константиновны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по требованию гражданки Т.К.Романовой вопрос о возможности принятия ее обращения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Т.К.Романова в своем обращении указывает на имеющиеся, по ее мнению, противоречия в содержании ряда статей Конституции Российской Федерации и просит приостановить действие решений Конституционного Суда Российской Федерации. Секретариат Конституционного Суда Российской Федерации в пределах своих полномочий на основании части второй статьи 40 Федерального конституционного закона «О Конституционном Суде Российской Федерации» ранее уведомлял Т.К.Романову о несоответствии ее обращения требованиям Федерального конституционного закона «О Конституционном Суде Российской Федерации», однако заявительница 2 настаивает на разрешении Конституционным Судом Российской Федерации поставленных в ее обращении вопросов.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данного обращения к рассмотрению. Согласно статье 125 (пункт «а» части 4) Конституции Российской Федерации, а также пункту 3 части первой статьи 3, статьям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законом и иными нормативными актами (указанными в пунктах «а», «б» части 2 той же статьи Конституции Российской Федерации). К числу указанных нормативных актов относятся федеральные конституционные законы, федеральные законы, нормативные акты Президента Российской Федерации, Совета Федерации, Государственной Думы, Правительства Российской Федерации, а также конституции республик, уставы, а также законы и иные нормативные акты субъектов Российской Федерации, изданные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Вопреки приведенным требованиям Т.К.Романова в своем обращении не ставит вопроса о проверке конституционности каких-либо положений нормативных актов, а настаивает на оценке соответствия одних норм Конституции Российской Федерации другим ее нормам, что Конституционному Суду Российской Федерации не подведомственно. Требуя приостановить действие решений Конституционного Суда Российской Федерации, заявительница, по существу, выражает несогласие с ними, однако согласно части первой статьи 79 Федерального конституционного закона «О Конституционном Суде Российской 3 Федерации» решения Конституционного Суда Российской Федерации окончательны и не подлежат обжалованию. Исходя из изложенного и руководствуясь частью второй статьи 40,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обращения гражданки Романовой Тамары Константиновны, поскольку разрешение поставленного в нем вопроса Конституционному Суду Российской Федерации не подведомственно и поскольку оно не отвечает требованиям Федерального конституционного закона «О Конституционном Суде Российской Федерации», в соответствии с которыми обращение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обращению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