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Голубова Дмитрия Борисовича на нарушение его конституционных прав статьей 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Д.Б.Голубова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Д.Б.Голубов оспаривает конституционность статьи 11 «Нормативные правовые акты, применяемые судом при разрешении гражданских дел»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Д.Б.Голубову отказано в удовлетворении исковых требований, заявленных в рамках трудового спора.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 2 По мнению Д.Б.Голубова, оспариваемая норма не соответствует статьям 37 и 46 Конституции Российской Федерации, поскольку позволяет суду при рассмотрении трудового спора игнорировать положения статьи 22 Трудового кодекса Российской Федерации, обязывающие работодателя знакомить работника под роспись с принимаемыми локальными нормативными актами, непосредственно связанными с его трудовой деятельностью, с которыми он не был ознакомлен, нарушая тем самым его право на труд и право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Голубова Дмитрия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