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частью третьей статьи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которому судом общей юрисдикции было отказано в восстановлении пропущенного процессуального срока подачи апелляционной жалобы, оспаривает конституционность части третьей статьи 112 «Восстановление процессуальных сроков» ГПК Российской Федерации. По мнению заявителя, оспариваемое законоположение противоречит Конституции Российской Федерации, ее статьям 2, 15, 17–19, 39, 45, 46, 55 и 751, поскольку позволяет суду отказать в восстановлении пропущенного процессуального срока без установления всех значимых для разрешения этого вопроса фактических обстоятельств.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112 ГПК Российской Федерации, предусматривающая, что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 действуя во взаимосвязи с иными предписаниями этой статьи, имеет целью расширение гарантий судебной защиты прав и законных интересов участников гражданского судопроизводства, пропустивших процессуальный срок по уважительным причинам. Вопрос о возможности восстановления пропущенного процессуального срока разрешается судом не произвольно, а на основании исследования фактических обстоятельств дела в пределах предоставленной ему законом свободы усмотрения с обязательным указанием в определении мотивов, по которым суд пришел к своим выводам (пункт 5 части первой статьи 225 ГПК Российской Федерации). Таким образом, оспариваемое законоположение не может расцениваться как нарушающее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