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Арутюнян Кристины Рафиковны на нарушение ее конституционных прав пунктами 1 и 2 статьи 250 Гражданского кодекса Российской Федерации во взаимосвязи со статьей 1651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К.Р.Арутюнян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К.Р.Арутюнян оспаривает конституционность пунктов 1 и 2 статьи 250 «Преимущественное право покупки» ГК Российской Федерации во взаимосвязи со статьей 1651 «Юридически значимые сообщения» того же Кодекса. Как следует из представленных материалов, заявительница (покупатель) и гражданин С. (продавец) заключили договор купли-продажи доли в праве собственности на квартиру. Апелляционным определением суда апелляционной инстанции, с которым согласились суды вышестоящих инстанций, частично удовлетворены требования гражданки К., в том числе о 2 переводе на нее прав и обязанностей покупателя по соответствующему договору. Суды пришли к выводу о том, что К. не была надлежащим образом уведомлена о продаже спорной доли, в связи с чем была лишена возможности реализовать свое преимущественное право покупки. По мнению заявительницы, оспариваемые нормы противоречат статьям 19 (части 1 и 2), 40, 46, 55 (часть 3) и 123 Конституции Российской Федерации в той мере, в какой они в системе действующего правового регулирования по смыслу, придаваемому правоприменительной практикой, позволяют осуществлять перевод прав и обязанностей покупателя в пользу участника долевой собственности, который был надлежащим образом извещен о продаже доли.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Арутюнян Кристины Рафиковны,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